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E68" w:rsidRPr="00982E68" w:rsidRDefault="00982E68" w:rsidP="00982E68">
      <w:pPr>
        <w:spacing w:before="100" w:beforeAutospacing="1" w:after="100" w:afterAutospacing="1" w:line="0" w:lineRule="atLeast"/>
        <w:jc w:val="right"/>
        <w:rPr>
          <w:rFonts w:ascii="Times Nordic" w:eastAsia="Times New Roman" w:hAnsi="Times Nordic" w:cs="Times New Roman"/>
          <w:b/>
          <w:bCs/>
          <w:color w:val="000000"/>
          <w:lang w:val="en-US" w:eastAsia="it-IT"/>
        </w:rPr>
      </w:pPr>
      <w:r w:rsidRPr="00982E68">
        <w:rPr>
          <w:rFonts w:ascii="Times Nordic" w:eastAsia="Times New Roman" w:hAnsi="Times Nordic" w:cs="Times New Roman"/>
          <w:b/>
          <w:bCs/>
          <w:color w:val="000000"/>
          <w:lang w:val="en-US" w:eastAsia="it-IT"/>
        </w:rPr>
        <w:t>N. 00767/2012 REG.PROV.COLL.</w:t>
      </w:r>
    </w:p>
    <w:p w:rsidR="00982E68" w:rsidRPr="00982E68" w:rsidRDefault="00982E68" w:rsidP="00982E68">
      <w:pPr>
        <w:spacing w:before="100" w:beforeAutospacing="1" w:after="100" w:afterAutospacing="1" w:line="0" w:lineRule="atLeast"/>
        <w:jc w:val="right"/>
        <w:rPr>
          <w:rFonts w:ascii="Times Nordic" w:eastAsia="Times New Roman" w:hAnsi="Times Nordic" w:cs="Times New Roman"/>
          <w:b/>
          <w:bCs/>
          <w:color w:val="000000"/>
          <w:lang w:val="en-US" w:eastAsia="it-IT"/>
        </w:rPr>
      </w:pPr>
      <w:r w:rsidRPr="00982E68">
        <w:rPr>
          <w:rFonts w:ascii="Times Nordic" w:eastAsia="Times New Roman" w:hAnsi="Times Nordic" w:cs="Times New Roman"/>
          <w:b/>
          <w:bCs/>
          <w:color w:val="000000"/>
          <w:lang w:val="en-US" w:eastAsia="it-IT"/>
        </w:rPr>
        <w:t>N. 00471/2011 REG.RIC.</w:t>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Pr>
          <w:rFonts w:ascii="Garamond" w:eastAsia="Times New Roman" w:hAnsi="Garamond" w:cs="Times New Roman"/>
          <w:b/>
          <w:bCs/>
          <w:noProof/>
          <w:color w:val="000000"/>
          <w:spacing w:val="150"/>
          <w:sz w:val="27"/>
          <w:szCs w:val="27"/>
          <w:lang w:eastAsia="it-IT"/>
        </w:rPr>
        <w:drawing>
          <wp:inline distT="0" distB="0" distL="0" distR="0">
            <wp:extent cx="723900" cy="828675"/>
            <wp:effectExtent l="19050" t="0" r="0" b="0"/>
            <wp:docPr id="1" name="Immagine 1" descr="http://www.giustizia-amministrativa.it/DocumentiGA/Cagliari/Sezione%202/2011/201100471/Provvedimenti/stem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iustizia-amministrativa.it/DocumentiGA/Cagliari/Sezione%202/2011/201100471/Provvedimenti/stemma.jpg"/>
                    <pic:cNvPicPr>
                      <a:picLocks noChangeAspect="1" noChangeArrowheads="1"/>
                    </pic:cNvPicPr>
                  </pic:nvPicPr>
                  <pic:blipFill>
                    <a:blip r:embed="rId4" cstate="print"/>
                    <a:srcRect/>
                    <a:stretch>
                      <a:fillRect/>
                    </a:stretch>
                  </pic:blipFill>
                  <pic:spPr bwMode="auto">
                    <a:xfrm>
                      <a:off x="0" y="0"/>
                      <a:ext cx="723900" cy="828675"/>
                    </a:xfrm>
                    <a:prstGeom prst="rect">
                      <a:avLst/>
                    </a:prstGeom>
                    <a:noFill/>
                    <a:ln w="9525">
                      <a:noFill/>
                      <a:miter lim="800000"/>
                      <a:headEnd/>
                      <a:tailEnd/>
                    </a:ln>
                  </pic:spPr>
                </pic:pic>
              </a:graphicData>
            </a:graphic>
          </wp:inline>
        </w:drawing>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spacing w:val="150"/>
          <w:sz w:val="27"/>
          <w:szCs w:val="27"/>
          <w:lang w:eastAsia="it-IT"/>
        </w:rPr>
      </w:pPr>
      <w:r w:rsidRPr="00982E68">
        <w:rPr>
          <w:rFonts w:ascii="Garamond" w:eastAsia="Times New Roman" w:hAnsi="Garamond" w:cs="Times New Roman"/>
          <w:b/>
          <w:bCs/>
          <w:color w:val="000000"/>
          <w:spacing w:val="150"/>
          <w:sz w:val="27"/>
          <w:szCs w:val="27"/>
          <w:lang w:eastAsia="it-IT"/>
        </w:rPr>
        <w:t>REPUBBLICA ITALIANA</w:t>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lang w:eastAsia="it-IT"/>
        </w:rPr>
      </w:pPr>
      <w:r w:rsidRPr="00982E68">
        <w:rPr>
          <w:rFonts w:ascii="Garamond" w:eastAsia="Times New Roman" w:hAnsi="Garamond" w:cs="Times New Roman"/>
          <w:b/>
          <w:bCs/>
          <w:color w:val="000000"/>
          <w:lang w:eastAsia="it-IT"/>
        </w:rPr>
        <w:t>IN NOME DEL POPOLO ITALIANO</w:t>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982E68">
        <w:rPr>
          <w:rFonts w:ascii="Garamond" w:eastAsia="Times New Roman" w:hAnsi="Garamond" w:cs="Times New Roman"/>
          <w:b/>
          <w:bCs/>
          <w:color w:val="000000"/>
          <w:sz w:val="26"/>
          <w:szCs w:val="26"/>
          <w:lang w:eastAsia="it-IT"/>
        </w:rPr>
        <w:t>Il Tribunale Amministrativo Regionale per la Sardegna</w:t>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982E68">
        <w:rPr>
          <w:rFonts w:ascii="Garamond" w:eastAsia="Times New Roman" w:hAnsi="Garamond" w:cs="Times New Roman"/>
          <w:b/>
          <w:bCs/>
          <w:color w:val="000000"/>
          <w:sz w:val="26"/>
          <w:szCs w:val="26"/>
          <w:lang w:eastAsia="it-IT"/>
        </w:rPr>
        <w:t>(Sezione Seconda)</w:t>
      </w:r>
    </w:p>
    <w:p w:rsidR="00982E68" w:rsidRPr="00982E68" w:rsidRDefault="00982E68" w:rsidP="00982E68">
      <w:pPr>
        <w:spacing w:after="0" w:line="520" w:lineRule="atLeast"/>
        <w:ind w:firstLine="567"/>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ha pronunciato la presente</w:t>
      </w:r>
    </w:p>
    <w:p w:rsidR="00982E68" w:rsidRPr="00982E68" w:rsidRDefault="00982E68" w:rsidP="00982E68">
      <w:pPr>
        <w:spacing w:before="100" w:beforeAutospacing="1" w:after="100" w:afterAutospacing="1" w:line="240" w:lineRule="auto"/>
        <w:jc w:val="center"/>
        <w:rPr>
          <w:rFonts w:ascii="Garamond" w:eastAsia="Times New Roman" w:hAnsi="Garamond" w:cs="Times New Roman"/>
          <w:b/>
          <w:bCs/>
          <w:color w:val="000000"/>
          <w:sz w:val="26"/>
          <w:szCs w:val="26"/>
          <w:lang w:eastAsia="it-IT"/>
        </w:rPr>
      </w:pPr>
      <w:r w:rsidRPr="00982E68">
        <w:rPr>
          <w:rFonts w:ascii="Garamond" w:eastAsia="Times New Roman" w:hAnsi="Garamond" w:cs="Times New Roman"/>
          <w:b/>
          <w:bCs/>
          <w:color w:val="000000"/>
          <w:sz w:val="26"/>
          <w:szCs w:val="26"/>
          <w:lang w:eastAsia="it-IT"/>
        </w:rPr>
        <w:t>SENTENZA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sul ricorso numero di registro generale 471 del 2011, proposto da:</w:t>
      </w:r>
      <w:r w:rsidRPr="00982E68">
        <w:rPr>
          <w:rFonts w:ascii="Garamond" w:eastAsia="Times New Roman" w:hAnsi="Garamond" w:cs="Times New Roman"/>
          <w:color w:val="000000"/>
          <w:sz w:val="30"/>
          <w:lang w:eastAsia="it-IT"/>
        </w:rPr>
        <w:t> </w:t>
      </w:r>
      <w:r w:rsidRPr="00982E68">
        <w:rPr>
          <w:rFonts w:ascii="Garamond" w:eastAsia="Times New Roman" w:hAnsi="Garamond" w:cs="Times New Roman"/>
          <w:color w:val="000000"/>
          <w:sz w:val="30"/>
          <w:szCs w:val="30"/>
          <w:lang w:eastAsia="it-IT"/>
        </w:rPr>
        <w:br/>
        <w:t xml:space="preserve">Comune di La Maddalena, in persona del Sindaco P.T., rappresentato e difeso dall'avv. </w:t>
      </w:r>
      <w:proofErr w:type="spellStart"/>
      <w:r w:rsidRPr="00982E68">
        <w:rPr>
          <w:rFonts w:ascii="Garamond" w:eastAsia="Times New Roman" w:hAnsi="Garamond" w:cs="Times New Roman"/>
          <w:color w:val="000000"/>
          <w:sz w:val="30"/>
          <w:szCs w:val="30"/>
          <w:lang w:eastAsia="it-IT"/>
        </w:rPr>
        <w:t>Giancomita</w:t>
      </w:r>
      <w:proofErr w:type="spellEnd"/>
      <w:r w:rsidRPr="00982E68">
        <w:rPr>
          <w:rFonts w:ascii="Garamond" w:eastAsia="Times New Roman" w:hAnsi="Garamond" w:cs="Times New Roman"/>
          <w:color w:val="000000"/>
          <w:sz w:val="30"/>
          <w:szCs w:val="30"/>
          <w:lang w:eastAsia="it-IT"/>
        </w:rPr>
        <w:t xml:space="preserve"> </w:t>
      </w:r>
      <w:proofErr w:type="spellStart"/>
      <w:r w:rsidRPr="00982E68">
        <w:rPr>
          <w:rFonts w:ascii="Garamond" w:eastAsia="Times New Roman" w:hAnsi="Garamond" w:cs="Times New Roman"/>
          <w:color w:val="000000"/>
          <w:sz w:val="30"/>
          <w:szCs w:val="30"/>
          <w:lang w:eastAsia="it-IT"/>
        </w:rPr>
        <w:t>Ragnedda</w:t>
      </w:r>
      <w:proofErr w:type="spellEnd"/>
      <w:r w:rsidRPr="00982E68">
        <w:rPr>
          <w:rFonts w:ascii="Garamond" w:eastAsia="Times New Roman" w:hAnsi="Garamond" w:cs="Times New Roman"/>
          <w:color w:val="000000"/>
          <w:sz w:val="30"/>
          <w:szCs w:val="30"/>
          <w:lang w:eastAsia="it-IT"/>
        </w:rPr>
        <w:t xml:space="preserve">, con domicilio eletto in Cagliari presso lo studio dell’avv. Debora </w:t>
      </w:r>
      <w:proofErr w:type="spellStart"/>
      <w:r w:rsidRPr="00982E68">
        <w:rPr>
          <w:rFonts w:ascii="Garamond" w:eastAsia="Times New Roman" w:hAnsi="Garamond" w:cs="Times New Roman"/>
          <w:color w:val="000000"/>
          <w:sz w:val="30"/>
          <w:szCs w:val="30"/>
          <w:lang w:eastAsia="it-IT"/>
        </w:rPr>
        <w:t>Urru</w:t>
      </w:r>
      <w:proofErr w:type="spellEnd"/>
      <w:r w:rsidRPr="00982E68">
        <w:rPr>
          <w:rFonts w:ascii="Garamond" w:eastAsia="Times New Roman" w:hAnsi="Garamond" w:cs="Times New Roman"/>
          <w:color w:val="000000"/>
          <w:sz w:val="30"/>
          <w:szCs w:val="30"/>
          <w:lang w:eastAsia="it-IT"/>
        </w:rPr>
        <w:t>, via Farina n. 44;</w:t>
      </w:r>
      <w:r w:rsidRPr="00982E68">
        <w:rPr>
          <w:rFonts w:ascii="Garamond" w:eastAsia="Times New Roman" w:hAnsi="Garamond" w:cs="Times New Roman"/>
          <w:color w:val="000000"/>
          <w:sz w:val="30"/>
          <w:lang w:eastAsia="it-IT"/>
        </w:rPr>
        <w:t> </w:t>
      </w:r>
    </w:p>
    <w:p w:rsidR="00982E68" w:rsidRPr="00982E68" w:rsidRDefault="00982E68" w:rsidP="00982E68">
      <w:pPr>
        <w:spacing w:after="0" w:line="520" w:lineRule="atLeast"/>
        <w:jc w:val="center"/>
        <w:rPr>
          <w:rFonts w:ascii="Garamond" w:eastAsia="Times New Roman" w:hAnsi="Garamond" w:cs="Times New Roman"/>
          <w:b/>
          <w:bCs/>
          <w:i/>
          <w:iCs/>
          <w:color w:val="000000"/>
          <w:sz w:val="30"/>
          <w:szCs w:val="30"/>
          <w:lang w:eastAsia="it-IT"/>
        </w:rPr>
      </w:pPr>
      <w:r w:rsidRPr="00982E68">
        <w:rPr>
          <w:rFonts w:ascii="Garamond" w:eastAsia="Times New Roman" w:hAnsi="Garamond" w:cs="Times New Roman"/>
          <w:b/>
          <w:bCs/>
          <w:i/>
          <w:iCs/>
          <w:color w:val="000000"/>
          <w:sz w:val="30"/>
          <w:szCs w:val="30"/>
          <w:lang w:eastAsia="it-IT"/>
        </w:rPr>
        <w:t>contro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la Regione Autonoma della Sardegna, rappresentata e difesa dagli avv.ti Roberto </w:t>
      </w:r>
      <w:proofErr w:type="spellStart"/>
      <w:r w:rsidRPr="00982E68">
        <w:rPr>
          <w:rFonts w:ascii="Garamond" w:eastAsia="Times New Roman" w:hAnsi="Garamond" w:cs="Times New Roman"/>
          <w:color w:val="000000"/>
          <w:sz w:val="30"/>
          <w:szCs w:val="30"/>
          <w:lang w:eastAsia="it-IT"/>
        </w:rPr>
        <w:t>Murroni</w:t>
      </w:r>
      <w:proofErr w:type="spellEnd"/>
      <w:r w:rsidRPr="00982E68">
        <w:rPr>
          <w:rFonts w:ascii="Garamond" w:eastAsia="Times New Roman" w:hAnsi="Garamond" w:cs="Times New Roman"/>
          <w:color w:val="000000"/>
          <w:sz w:val="30"/>
          <w:szCs w:val="30"/>
          <w:lang w:eastAsia="it-IT"/>
        </w:rPr>
        <w:t xml:space="preserve"> e Mattia Pani, con domicilio eletto in Cagliari presso l’Ufficio Legale dell’Ente, viale Trento n. 69;</w:t>
      </w:r>
      <w:r w:rsidRPr="00982E68">
        <w:rPr>
          <w:rFonts w:ascii="Garamond" w:eastAsia="Times New Roman" w:hAnsi="Garamond" w:cs="Times New Roman"/>
          <w:color w:val="000000"/>
          <w:sz w:val="30"/>
          <w:lang w:eastAsia="it-IT"/>
        </w:rPr>
        <w:t> </w:t>
      </w:r>
    </w:p>
    <w:p w:rsidR="00982E68" w:rsidRPr="00982E68" w:rsidRDefault="00982E68" w:rsidP="00982E68">
      <w:pPr>
        <w:spacing w:after="0" w:line="520" w:lineRule="atLeast"/>
        <w:jc w:val="center"/>
        <w:rPr>
          <w:rFonts w:ascii="Garamond" w:eastAsia="Times New Roman" w:hAnsi="Garamond" w:cs="Times New Roman"/>
          <w:b/>
          <w:bCs/>
          <w:i/>
          <w:iCs/>
          <w:color w:val="000000"/>
          <w:sz w:val="30"/>
          <w:szCs w:val="30"/>
          <w:lang w:eastAsia="it-IT"/>
        </w:rPr>
      </w:pPr>
      <w:r w:rsidRPr="00982E68">
        <w:rPr>
          <w:rFonts w:ascii="Garamond" w:eastAsia="Times New Roman" w:hAnsi="Garamond" w:cs="Times New Roman"/>
          <w:b/>
          <w:bCs/>
          <w:i/>
          <w:iCs/>
          <w:color w:val="000000"/>
          <w:sz w:val="30"/>
          <w:szCs w:val="30"/>
          <w:lang w:eastAsia="it-IT"/>
        </w:rPr>
        <w:t>per l'annullamento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a) della determinazione n. 1013/D.G. del 9.3.2011, a firma del Direttore Generale della Pianificazione Territoriale e della Vigilanza Edilizia, Assessorato degli Enti Locali, Finanze ed Urbanistica della Regione Autonoma della Sardegna, avente ad oggetto la verifica di coerenza della variante al </w:t>
      </w:r>
      <w:proofErr w:type="spellStart"/>
      <w:r w:rsidRPr="00982E68">
        <w:rPr>
          <w:rFonts w:ascii="Garamond" w:eastAsia="Times New Roman" w:hAnsi="Garamond" w:cs="Times New Roman"/>
          <w:color w:val="000000"/>
          <w:sz w:val="30"/>
          <w:szCs w:val="30"/>
          <w:lang w:eastAsia="it-IT"/>
        </w:rPr>
        <w:t>P.U.C.</w:t>
      </w:r>
      <w:proofErr w:type="spellEnd"/>
      <w:r w:rsidRPr="00982E68">
        <w:rPr>
          <w:rFonts w:ascii="Garamond" w:eastAsia="Times New Roman" w:hAnsi="Garamond" w:cs="Times New Roman"/>
          <w:color w:val="000000"/>
          <w:sz w:val="30"/>
          <w:szCs w:val="30"/>
          <w:lang w:eastAsia="it-IT"/>
        </w:rPr>
        <w:t xml:space="preserve"> di La Maddalena approvata in via definitiva con deliberazione del consiglio Comunale n. 6 del 12.3.2009;</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B) per quanto occorrer possa: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lastRenderedPageBreak/>
        <w:t xml:space="preserve">- della nota di trasmissione della predetta determinazione, </w:t>
      </w:r>
      <w:proofErr w:type="spellStart"/>
      <w:r w:rsidRPr="00982E68">
        <w:rPr>
          <w:rFonts w:ascii="Garamond" w:eastAsia="Times New Roman" w:hAnsi="Garamond" w:cs="Times New Roman"/>
          <w:color w:val="000000"/>
          <w:sz w:val="30"/>
          <w:szCs w:val="30"/>
          <w:lang w:eastAsia="it-IT"/>
        </w:rPr>
        <w:t>prot</w:t>
      </w:r>
      <w:proofErr w:type="spellEnd"/>
      <w:r w:rsidRPr="00982E68">
        <w:rPr>
          <w:rFonts w:ascii="Garamond" w:eastAsia="Times New Roman" w:hAnsi="Garamond" w:cs="Times New Roman"/>
          <w:color w:val="000000"/>
          <w:sz w:val="30"/>
          <w:szCs w:val="30"/>
          <w:lang w:eastAsia="it-IT"/>
        </w:rPr>
        <w:t>. 13687 del 9.3.2011, a firma del medesimo Direttore Generale;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 del parere del </w:t>
      </w:r>
      <w:proofErr w:type="spellStart"/>
      <w:r w:rsidRPr="00982E68">
        <w:rPr>
          <w:rFonts w:ascii="Garamond" w:eastAsia="Times New Roman" w:hAnsi="Garamond" w:cs="Times New Roman"/>
          <w:color w:val="000000"/>
          <w:sz w:val="30"/>
          <w:szCs w:val="30"/>
          <w:lang w:eastAsia="it-IT"/>
        </w:rPr>
        <w:t>C.T.R.U.</w:t>
      </w:r>
      <w:proofErr w:type="spellEnd"/>
      <w:r w:rsidRPr="00982E68">
        <w:rPr>
          <w:rFonts w:ascii="Garamond" w:eastAsia="Times New Roman" w:hAnsi="Garamond" w:cs="Times New Roman"/>
          <w:color w:val="000000"/>
          <w:sz w:val="30"/>
          <w:szCs w:val="30"/>
          <w:lang w:eastAsia="it-IT"/>
        </w:rPr>
        <w:t xml:space="preserve"> reso in data 09.02.2011 (non conosciuto e citato nella determinazione principalmente impugnata);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 della nota </w:t>
      </w:r>
      <w:proofErr w:type="spellStart"/>
      <w:r w:rsidRPr="00982E68">
        <w:rPr>
          <w:rFonts w:ascii="Garamond" w:eastAsia="Times New Roman" w:hAnsi="Garamond" w:cs="Times New Roman"/>
          <w:color w:val="000000"/>
          <w:sz w:val="30"/>
          <w:szCs w:val="30"/>
          <w:lang w:eastAsia="it-IT"/>
        </w:rPr>
        <w:t>prot</w:t>
      </w:r>
      <w:proofErr w:type="spellEnd"/>
      <w:r w:rsidRPr="00982E68">
        <w:rPr>
          <w:rFonts w:ascii="Garamond" w:eastAsia="Times New Roman" w:hAnsi="Garamond" w:cs="Times New Roman"/>
          <w:color w:val="000000"/>
          <w:sz w:val="30"/>
          <w:szCs w:val="30"/>
          <w:lang w:eastAsia="it-IT"/>
        </w:rPr>
        <w:t>. 33204 del 27/9/2010, avente il medesimo oggetto, a firma del Direttore del servizio pianificazione paesaggistica e urbanistica - Direzione Generale della Pianificazione Urbanistica Territoriale e della Vigilanza Edilizia, Assessorato degli Enti Locali, Finanze ed Urbanistica della Regione Autonoma della Sardegna;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c) di ogni altro atto ad essi presupposto, connesso e/o conseguente.</w:t>
      </w:r>
    </w:p>
    <w:p w:rsidR="00982E68" w:rsidRPr="00982E68" w:rsidRDefault="00982E68" w:rsidP="00982E68">
      <w:pPr>
        <w:spacing w:after="0" w:line="240" w:lineRule="auto"/>
        <w:rPr>
          <w:rFonts w:ascii="Times New Roman" w:eastAsia="Times New Roman" w:hAnsi="Times New Roman" w:cs="Times New Roman"/>
          <w:sz w:val="24"/>
          <w:szCs w:val="24"/>
          <w:lang w:eastAsia="it-IT"/>
        </w:rPr>
      </w:pPr>
      <w:r w:rsidRPr="00982E68">
        <w:rPr>
          <w:rFonts w:ascii="Times New Roman" w:eastAsia="Times New Roman" w:hAnsi="Times New Roman" w:cs="Times New Roman"/>
          <w:color w:val="000000"/>
          <w:sz w:val="27"/>
          <w:szCs w:val="27"/>
          <w:lang w:eastAsia="it-IT"/>
        </w:rPr>
        <w:br/>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Visti il ricorso e i relativi allegati;</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Visto l'atto di costituzione in giudizio della Regione Autonoma della Sardegna;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Viste le memorie difensive;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Visti tutti gli atti della causa;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Relatore nell'udienza pubblica del giorno 11 luglio 2012 il dott. Tito </w:t>
      </w:r>
      <w:proofErr w:type="spellStart"/>
      <w:r w:rsidRPr="00982E68">
        <w:rPr>
          <w:rFonts w:ascii="Garamond" w:eastAsia="Times New Roman" w:hAnsi="Garamond" w:cs="Times New Roman"/>
          <w:color w:val="000000"/>
          <w:sz w:val="30"/>
          <w:szCs w:val="30"/>
          <w:lang w:eastAsia="it-IT"/>
        </w:rPr>
        <w:t>Aru</w:t>
      </w:r>
      <w:proofErr w:type="spellEnd"/>
      <w:r w:rsidRPr="00982E68">
        <w:rPr>
          <w:rFonts w:ascii="Garamond" w:eastAsia="Times New Roman" w:hAnsi="Garamond" w:cs="Times New Roman"/>
          <w:color w:val="000000"/>
          <w:sz w:val="30"/>
          <w:szCs w:val="30"/>
          <w:lang w:eastAsia="it-IT"/>
        </w:rPr>
        <w:t xml:space="preserve"> e uditi per le parti i difensori come specificato nel verbale;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Ritenuto e considerato in fatto e diritto quanto segue.</w:t>
      </w:r>
    </w:p>
    <w:p w:rsidR="00982E68" w:rsidRPr="00982E68" w:rsidRDefault="00982E68" w:rsidP="00982E68">
      <w:pPr>
        <w:spacing w:after="0" w:line="240" w:lineRule="auto"/>
        <w:rPr>
          <w:rFonts w:ascii="Times New Roman" w:eastAsia="Times New Roman" w:hAnsi="Times New Roman" w:cs="Times New Roman"/>
          <w:sz w:val="24"/>
          <w:szCs w:val="24"/>
          <w:lang w:eastAsia="it-IT"/>
        </w:rPr>
      </w:pPr>
      <w:r w:rsidRPr="00982E68">
        <w:rPr>
          <w:rFonts w:ascii="Times New Roman" w:eastAsia="Times New Roman" w:hAnsi="Times New Roman" w:cs="Times New Roman"/>
          <w:color w:val="000000"/>
          <w:sz w:val="27"/>
          <w:szCs w:val="27"/>
          <w:lang w:eastAsia="it-IT"/>
        </w:rPr>
        <w:br/>
      </w:r>
    </w:p>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FATTO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Con il ricorso in esame, notificato il 18 maggio 2011 e depositato il successivo giorno 27, il Comune di La Maddalena espone quanto segue.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In data 19 giugno 2007, con delibera n. 65, la Giunta comunale deliberava di attivare una procedura d’intesa, ai sensi degli artt. 11 e 15 delle NTA del PPR, concernente una molteplicità di interventi di riqualificazione </w:t>
      </w:r>
      <w:proofErr w:type="spellStart"/>
      <w:r w:rsidRPr="00982E68">
        <w:rPr>
          <w:rFonts w:ascii="Garamond" w:eastAsia="Times New Roman" w:hAnsi="Garamond" w:cs="Times New Roman"/>
          <w:color w:val="000000"/>
          <w:sz w:val="30"/>
          <w:szCs w:val="30"/>
          <w:lang w:eastAsia="it-IT"/>
        </w:rPr>
        <w:t>urbanistico-ambientale</w:t>
      </w:r>
      <w:proofErr w:type="spellEnd"/>
      <w:r w:rsidRPr="00982E68">
        <w:rPr>
          <w:rFonts w:ascii="Garamond" w:eastAsia="Times New Roman" w:hAnsi="Garamond" w:cs="Times New Roman"/>
          <w:color w:val="000000"/>
          <w:sz w:val="30"/>
          <w:szCs w:val="30"/>
          <w:lang w:eastAsia="it-IT"/>
        </w:rPr>
        <w:t>, finalizzati ad attuare i contenuti del PUC conformi al PPR anche prima dell’adeguamento dello strumento urbanistico allo stesso PPR.</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lastRenderedPageBreak/>
        <w:t>In data 29 ottobre 2007 si teneva, dunque, una conferenza di servizi alla quale partecipavano i rappresentanti di tutte le amministrazioni competenti in materia.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Il successivo 20 marzo 2008 comune, provincia e regione sottoscrivevano, in relazione ai precitati interventi, un protocollo d’intesa, poi approvato in via definitiva con delibera della giunta regionale n. 17/3 dello stesso 20 marzo 2008.</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Poiché il recepimento effettivo delle intese richiedeva, per taluni profili, un adeguamento del PUC vigente, il Consiglio comunale di La Maddalena procedeva all’espletamento della procedura prevista dall’art. 20 della legge reg. n. 45/1989.</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A tal fine, con delibera n. 66 del 24 settembre 2008 adottava in via preliminare l’anzidetta variante e con delibera n. 6 del 12 marzo 2009 l’approvava in via definitiva.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A questo punto il Dirigente comunale competente trasmetteva il progetto di variante, come definitivamente approvato dal Comune, alla Direzione Generale della Pianificazione Urbanistica Territoriale e della Vigilanza Edilizia al fine di espletare la procedura di verifica di coerenza ai sensi dell’art. 31, comma 5, legge regionale n. 7/2002.</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Dopo una lunga e articolata istruttoria, previa acquisizione del parere del CTRU in data 9 febbraio 2011, il Direttore Generale della Pianificazione Urbanistica adottava l’impugnata determinazione n. 1013 del 9 marzo 2011, ritenuta oggi illegittima dal Comune ricorrente nella parte in cui ritiene non coerenti taluni interventi sottoposti a intesa, e in ogni caso nella parte in cui pone delle prescrizioni vincolanti ai fini della pubblicazione sul BURAS e dell’entrata in vigore della variante.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I motivi d’impugnazione sono indicati nell’atto introduttivo del giudizio e concernono la violazione, sotto diversi profili, dell’art. 31, comma 5, della legge regionale n. 7/2002, in relazione all’art. 9 della legge costituzionale n. 3/2001, nonché la violazione dell’art. 10 bis della legge n. 241/1990 e l’eccesso di potere </w:t>
      </w:r>
      <w:r w:rsidRPr="00982E68">
        <w:rPr>
          <w:rFonts w:ascii="Garamond" w:eastAsia="Times New Roman" w:hAnsi="Garamond" w:cs="Times New Roman"/>
          <w:color w:val="000000"/>
          <w:sz w:val="30"/>
          <w:szCs w:val="30"/>
          <w:lang w:eastAsia="it-IT"/>
        </w:rPr>
        <w:lastRenderedPageBreak/>
        <w:t>per contraddittorietà tra atti, difetto di istruttoria, travisamento dei presupposti e carenza di motivazione.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Infine il Comune ricorrente contesta la violazione dell’art. 1, comma 2. della legge n. 241/1990 per lesione del principio di non aggravamento del procedimento amministrativo.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Di qui la richiesta di annullamento, previa sospensiva, dei provvedimenti impugnati, con vittoria delle spese.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Per resistere al ricorso si è costituita l’Amministrazione regionale che, con articolate difese scritte, ne ha chiesto il rigetto, vinte le spese.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Alla camera di consiglio del 15 giugno 2011 l’esame dell’istanza cautelare è stato rinviato per essere deciso unitamente al merito della causa.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Alla pubblica udienza dell’11 luglio 2012, sentiti i difensori delle parti, la causa è stata posta in decisione.</w:t>
      </w:r>
    </w:p>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DIRITTO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Il ricorso è inammissibile per difetto di </w:t>
      </w:r>
      <w:proofErr w:type="spellStart"/>
      <w:r w:rsidRPr="00982E68">
        <w:rPr>
          <w:rFonts w:ascii="Garamond" w:eastAsia="Times New Roman" w:hAnsi="Garamond" w:cs="Times New Roman"/>
          <w:color w:val="000000"/>
          <w:sz w:val="30"/>
          <w:szCs w:val="30"/>
          <w:lang w:eastAsia="it-IT"/>
        </w:rPr>
        <w:t>lesività</w:t>
      </w:r>
      <w:proofErr w:type="spellEnd"/>
      <w:r w:rsidRPr="00982E68">
        <w:rPr>
          <w:rFonts w:ascii="Garamond" w:eastAsia="Times New Roman" w:hAnsi="Garamond" w:cs="Times New Roman"/>
          <w:color w:val="000000"/>
          <w:sz w:val="30"/>
          <w:szCs w:val="30"/>
          <w:lang w:eastAsia="it-IT"/>
        </w:rPr>
        <w:t xml:space="preserve"> dell’atto impugnato.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La questione della natura della verifica di coerenza e il suo rapporto con la delibera consiliare di approvazione degli strumenti urbanistici è già stata affrontata da questo Tar con la sentenza n. 1488 del 4 luglio 2007.</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In tale decisione, dalla quale il Collegio non ravvisa oggi motivo per discostarsi, il Tribunale ha precisato, tra l’altro, che “</w:t>
      </w:r>
      <w:proofErr w:type="spellStart"/>
      <w:r w:rsidRPr="00982E68">
        <w:rPr>
          <w:rFonts w:ascii="Garamond" w:eastAsia="Times New Roman" w:hAnsi="Garamond" w:cs="Times New Roman"/>
          <w:color w:val="000000"/>
          <w:sz w:val="30"/>
          <w:szCs w:val="30"/>
          <w:lang w:eastAsia="it-IT"/>
        </w:rPr>
        <w:t>…la</w:t>
      </w:r>
      <w:proofErr w:type="spellEnd"/>
      <w:r w:rsidRPr="00982E68">
        <w:rPr>
          <w:rFonts w:ascii="Garamond" w:eastAsia="Times New Roman" w:hAnsi="Garamond" w:cs="Times New Roman"/>
          <w:color w:val="000000"/>
          <w:sz w:val="30"/>
          <w:szCs w:val="30"/>
          <w:lang w:eastAsia="it-IT"/>
        </w:rPr>
        <w:t xml:space="preserve"> verifica di coerenza prevista all’ultimo comma del citato articolo 31 non può essere considerata come un’attività di controllo sulla delibera del Consiglio comunale di approvazione del proprio strumento urbanistico, stante l’eliminazione dei controlli sugli atti degli Enti locali per effetto dell’abrogazione dell’art. 130 della Costituzione disposto con l’art. 9 della legge costituzionale 18 ottobre 2001 n. 3, e stante l’adeguamento della stessa legge regionale alla modifica costituzionale, con l’</w:t>
      </w:r>
      <w:proofErr w:type="spellStart"/>
      <w:r w:rsidRPr="00982E68">
        <w:rPr>
          <w:rFonts w:ascii="Garamond" w:eastAsia="Times New Roman" w:hAnsi="Garamond" w:cs="Times New Roman"/>
          <w:color w:val="000000"/>
          <w:sz w:val="30"/>
          <w:szCs w:val="30"/>
          <w:lang w:eastAsia="it-IT"/>
        </w:rPr>
        <w:t>inequivoca</w:t>
      </w:r>
      <w:proofErr w:type="spellEnd"/>
      <w:r w:rsidRPr="00982E68">
        <w:rPr>
          <w:rFonts w:ascii="Garamond" w:eastAsia="Times New Roman" w:hAnsi="Garamond" w:cs="Times New Roman"/>
          <w:color w:val="000000"/>
          <w:sz w:val="30"/>
          <w:szCs w:val="30"/>
          <w:lang w:eastAsia="it-IT"/>
        </w:rPr>
        <w:t xml:space="preserve"> disposizione di cui al </w:t>
      </w:r>
      <w:r w:rsidRPr="00982E68">
        <w:rPr>
          <w:rFonts w:ascii="Garamond" w:eastAsia="Times New Roman" w:hAnsi="Garamond" w:cs="Times New Roman"/>
          <w:color w:val="000000"/>
          <w:sz w:val="30"/>
          <w:szCs w:val="30"/>
          <w:lang w:eastAsia="it-IT"/>
        </w:rPr>
        <w:lastRenderedPageBreak/>
        <w:t>primo comma dell’art. 31 che così recita : “1. Il controllo preventivo obbligatorio sugli atti degli enti locali è soppresso.”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La disposizione di cui al penultimo comma dell’art. 31, che prevede la verifica di coerenza, deve essere letta in armonia con il mutato assetto costituzionale ed in particolare come un’attività collaborativa della Regione che segnala al Comune eventuali incongruenze dell’atto di pianificazione comunale rispetto agli strumenti urbanistici </w:t>
      </w:r>
      <w:proofErr w:type="spellStart"/>
      <w:r w:rsidRPr="00982E68">
        <w:rPr>
          <w:rFonts w:ascii="Garamond" w:eastAsia="Times New Roman" w:hAnsi="Garamond" w:cs="Times New Roman"/>
          <w:color w:val="000000"/>
          <w:sz w:val="30"/>
          <w:szCs w:val="30"/>
          <w:lang w:eastAsia="it-IT"/>
        </w:rPr>
        <w:t>sovraordinati</w:t>
      </w:r>
      <w:proofErr w:type="spellEnd"/>
      <w:r w:rsidRPr="00982E68">
        <w:rPr>
          <w:rFonts w:ascii="Garamond" w:eastAsia="Times New Roman" w:hAnsi="Garamond" w:cs="Times New Roman"/>
          <w:color w:val="000000"/>
          <w:sz w:val="30"/>
          <w:szCs w:val="30"/>
          <w:lang w:eastAsia="it-IT"/>
        </w:rPr>
        <w:t>.</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L’atto regionale, adottato in sede di verifica di coerenza, proprio perché non è un atto di controllo, non può evidentemente disporre l’annullamento dell’atto Comunale, potendo soltanto contenere una possibile richiesta di riesame e di eventuale adeguamento, cui il Comune può uniformarsi, ove ritenga corretto il rilievo della Regione, oppure, in caso contrario, non modificare lo strumento urbanistico e chiedere la pubblicazione dello stesso sul BURAS al fine di fargli conseguire l’efficacia, assumendosi semmai la responsabilità dell’adozione di un atto ritenuto dalla Regione difforme dagli strumenti </w:t>
      </w:r>
      <w:proofErr w:type="spellStart"/>
      <w:r w:rsidRPr="00982E68">
        <w:rPr>
          <w:rFonts w:ascii="Garamond" w:eastAsia="Times New Roman" w:hAnsi="Garamond" w:cs="Times New Roman"/>
          <w:color w:val="000000"/>
          <w:sz w:val="30"/>
          <w:szCs w:val="30"/>
          <w:lang w:eastAsia="it-IT"/>
        </w:rPr>
        <w:t>sovraordinati…</w:t>
      </w:r>
      <w:proofErr w:type="spellEnd"/>
      <w:r w:rsidRPr="00982E68">
        <w:rPr>
          <w:rFonts w:ascii="Garamond" w:eastAsia="Times New Roman" w:hAnsi="Garamond" w:cs="Times New Roman"/>
          <w:color w:val="000000"/>
          <w:sz w:val="30"/>
          <w:szCs w:val="30"/>
          <w:lang w:eastAsia="it-IT"/>
        </w:rPr>
        <w:t>” .</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In relazione alla menzionata decisione, il Collegio ritiene che il ricorso in esame debba essere dichiarato inammissibile per difetto del requisito dell’attualità della lesione del provvedimento impugnato, non costituendo quest’ultimo un atto preclusivo della richiesta pubblicazione sul BURAS della variante per cui è causa e della sua applicazione da pare dell’ente comunale, con assunzione – ovviamente - da parte di quest’ultimo, della responsabilità per l’eventuale contrasto degli atti applicativi con lo strumento sovraordinato.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Di qui la declaratoria dell’inammissibilità del ricorso.</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Sussistono nondimeno giusti motivi per compensare tra le parti le spese del giudizio.</w:t>
      </w:r>
    </w:p>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P.Q.M.</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Il Tribunale Amministrativo Regionale per la Sardegna (Sezione Seconda)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lastRenderedPageBreak/>
        <w:t>definitivamente pronunciando sul ricorso, come in epigrafe proposto, lo dichiara inammissibile.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Spese compensate.</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Ordina che la presente sentenza sia eseguita dall'autorità amministrativa.</w:t>
      </w:r>
    </w:p>
    <w:p w:rsidR="00982E68" w:rsidRPr="00982E68" w:rsidRDefault="00982E68" w:rsidP="00982E68">
      <w:pPr>
        <w:spacing w:after="0" w:line="520" w:lineRule="atLeast"/>
        <w:jc w:val="both"/>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Così deciso in Cagliari nella camera di consiglio del giorno 11 luglio 2012 con l'intervento dei magistrati:</w:t>
      </w:r>
    </w:p>
    <w:p w:rsidR="00982E68" w:rsidRPr="00982E68" w:rsidRDefault="00982E68" w:rsidP="00982E68">
      <w:pPr>
        <w:spacing w:after="0" w:line="520" w:lineRule="atLeast"/>
        <w:ind w:firstLine="567"/>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Alessandro Maggio, Presidente</w:t>
      </w:r>
    </w:p>
    <w:p w:rsidR="00982E68" w:rsidRPr="00982E68" w:rsidRDefault="00982E68" w:rsidP="00982E68">
      <w:pPr>
        <w:spacing w:after="0" w:line="520" w:lineRule="atLeast"/>
        <w:ind w:firstLine="567"/>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Tito </w:t>
      </w:r>
      <w:proofErr w:type="spellStart"/>
      <w:r w:rsidRPr="00982E68">
        <w:rPr>
          <w:rFonts w:ascii="Garamond" w:eastAsia="Times New Roman" w:hAnsi="Garamond" w:cs="Times New Roman"/>
          <w:color w:val="000000"/>
          <w:sz w:val="30"/>
          <w:szCs w:val="30"/>
          <w:lang w:eastAsia="it-IT"/>
        </w:rPr>
        <w:t>Aru</w:t>
      </w:r>
      <w:proofErr w:type="spellEnd"/>
      <w:r w:rsidRPr="00982E68">
        <w:rPr>
          <w:rFonts w:ascii="Garamond" w:eastAsia="Times New Roman" w:hAnsi="Garamond" w:cs="Times New Roman"/>
          <w:color w:val="000000"/>
          <w:sz w:val="30"/>
          <w:szCs w:val="30"/>
          <w:lang w:eastAsia="it-IT"/>
        </w:rPr>
        <w:t>, Consigliere, Estensore</w:t>
      </w:r>
    </w:p>
    <w:p w:rsidR="00982E68" w:rsidRPr="00982E68" w:rsidRDefault="00982E68" w:rsidP="00982E68">
      <w:pPr>
        <w:spacing w:after="0" w:line="520" w:lineRule="atLeast"/>
        <w:ind w:firstLine="567"/>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 xml:space="preserve">Antonio </w:t>
      </w:r>
      <w:proofErr w:type="spellStart"/>
      <w:r w:rsidRPr="00982E68">
        <w:rPr>
          <w:rFonts w:ascii="Garamond" w:eastAsia="Times New Roman" w:hAnsi="Garamond" w:cs="Times New Roman"/>
          <w:color w:val="000000"/>
          <w:sz w:val="30"/>
          <w:szCs w:val="30"/>
          <w:lang w:eastAsia="it-IT"/>
        </w:rPr>
        <w:t>Plaisant</w:t>
      </w:r>
      <w:proofErr w:type="spellEnd"/>
      <w:r w:rsidRPr="00982E68">
        <w:rPr>
          <w:rFonts w:ascii="Garamond" w:eastAsia="Times New Roman" w:hAnsi="Garamond" w:cs="Times New Roman"/>
          <w:color w:val="000000"/>
          <w:sz w:val="30"/>
          <w:szCs w:val="30"/>
          <w:lang w:eastAsia="it-IT"/>
        </w:rPr>
        <w:t>, Consigliere</w:t>
      </w:r>
    </w:p>
    <w:tbl>
      <w:tblPr>
        <w:tblW w:w="5000" w:type="pct"/>
        <w:tblCellMar>
          <w:top w:w="15" w:type="dxa"/>
          <w:left w:w="15" w:type="dxa"/>
          <w:bottom w:w="15" w:type="dxa"/>
          <w:right w:w="15" w:type="dxa"/>
        </w:tblCellMar>
        <w:tblLook w:val="04A0"/>
      </w:tblPr>
      <w:tblGrid>
        <w:gridCol w:w="4551"/>
        <w:gridCol w:w="83"/>
        <w:gridCol w:w="5034"/>
      </w:tblGrid>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L'ESTENSORE</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IL PRESIDENTE</w:t>
            </w: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r w:rsidR="00982E68" w:rsidRPr="00982E68" w:rsidTr="00982E68">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r w:rsidRPr="00982E68">
              <w:rPr>
                <w:rFonts w:ascii="Times New Roman" w:eastAsia="Times New Roman" w:hAnsi="Times New Roman" w:cs="Times New Roman"/>
                <w:b/>
                <w:bCs/>
                <w:sz w:val="28"/>
                <w:szCs w:val="28"/>
                <w:lang w:eastAsia="it-IT"/>
              </w:rPr>
              <w:t> </w:t>
            </w: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c>
          <w:tcPr>
            <w:tcW w:w="0" w:type="auto"/>
            <w:vAlign w:val="center"/>
            <w:hideMark/>
          </w:tcPr>
          <w:p w:rsidR="00982E68" w:rsidRPr="00982E68" w:rsidRDefault="00982E68" w:rsidP="00982E68">
            <w:pPr>
              <w:spacing w:after="0" w:line="240" w:lineRule="auto"/>
              <w:jc w:val="center"/>
              <w:rPr>
                <w:rFonts w:ascii="Times New Roman" w:eastAsia="Times New Roman" w:hAnsi="Times New Roman" w:cs="Times New Roman"/>
                <w:b/>
                <w:bCs/>
                <w:sz w:val="28"/>
                <w:szCs w:val="28"/>
                <w:lang w:eastAsia="it-IT"/>
              </w:rPr>
            </w:pPr>
          </w:p>
        </w:tc>
      </w:tr>
    </w:tbl>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DEPOSITATA IN SEGRETERIA</w:t>
      </w:r>
    </w:p>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Il 02/08/2012</w:t>
      </w:r>
    </w:p>
    <w:p w:rsidR="00982E68" w:rsidRPr="00982E68" w:rsidRDefault="00982E68" w:rsidP="00982E68">
      <w:pPr>
        <w:spacing w:after="0" w:line="540" w:lineRule="atLeast"/>
        <w:jc w:val="center"/>
        <w:rPr>
          <w:rFonts w:ascii="Garamond" w:eastAsia="Times New Roman" w:hAnsi="Garamond" w:cs="Times New Roman"/>
          <w:color w:val="000000"/>
          <w:sz w:val="30"/>
          <w:szCs w:val="30"/>
          <w:lang w:eastAsia="it-IT"/>
        </w:rPr>
      </w:pPr>
      <w:r w:rsidRPr="00982E68">
        <w:rPr>
          <w:rFonts w:ascii="Garamond" w:eastAsia="Times New Roman" w:hAnsi="Garamond" w:cs="Times New Roman"/>
          <w:color w:val="000000"/>
          <w:sz w:val="30"/>
          <w:szCs w:val="30"/>
          <w:lang w:eastAsia="it-IT"/>
        </w:rPr>
        <w:t>IL SEGRETARIO</w:t>
      </w:r>
    </w:p>
    <w:p w:rsidR="00982E68" w:rsidRPr="00982E68" w:rsidRDefault="00982E68" w:rsidP="00982E68">
      <w:pPr>
        <w:spacing w:after="0" w:line="540" w:lineRule="atLeast"/>
        <w:jc w:val="center"/>
        <w:rPr>
          <w:rFonts w:ascii="Garamond" w:eastAsia="Times New Roman" w:hAnsi="Garamond" w:cs="Times New Roman"/>
          <w:color w:val="000000"/>
          <w:sz w:val="30"/>
          <w:szCs w:val="30"/>
          <w:lang w:val="en-US" w:eastAsia="it-IT"/>
        </w:rPr>
      </w:pPr>
      <w:r w:rsidRPr="00982E68">
        <w:rPr>
          <w:rFonts w:ascii="Garamond" w:eastAsia="Times New Roman" w:hAnsi="Garamond" w:cs="Times New Roman"/>
          <w:color w:val="000000"/>
          <w:sz w:val="30"/>
          <w:szCs w:val="30"/>
          <w:lang w:val="en-US" w:eastAsia="it-IT"/>
        </w:rPr>
        <w:t xml:space="preserve">(Art. 89, co. 3, cod. proc. </w:t>
      </w:r>
      <w:proofErr w:type="spellStart"/>
      <w:r w:rsidRPr="00982E68">
        <w:rPr>
          <w:rFonts w:ascii="Garamond" w:eastAsia="Times New Roman" w:hAnsi="Garamond" w:cs="Times New Roman"/>
          <w:color w:val="000000"/>
          <w:sz w:val="30"/>
          <w:szCs w:val="30"/>
          <w:lang w:val="en-US" w:eastAsia="it-IT"/>
        </w:rPr>
        <w:t>amm</w:t>
      </w:r>
      <w:proofErr w:type="spellEnd"/>
      <w:r w:rsidRPr="00982E68">
        <w:rPr>
          <w:rFonts w:ascii="Garamond" w:eastAsia="Times New Roman" w:hAnsi="Garamond" w:cs="Times New Roman"/>
          <w:color w:val="000000"/>
          <w:sz w:val="30"/>
          <w:szCs w:val="30"/>
          <w:lang w:val="en-US" w:eastAsia="it-IT"/>
        </w:rPr>
        <w:t>.)</w:t>
      </w:r>
    </w:p>
    <w:p w:rsidR="003F3D19" w:rsidRPr="00982E68" w:rsidRDefault="003F3D19">
      <w:pPr>
        <w:rPr>
          <w:lang w:val="en-US"/>
        </w:rPr>
      </w:pPr>
    </w:p>
    <w:sectPr w:rsidR="003F3D19" w:rsidRPr="00982E68" w:rsidSect="003F3D1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Nordic">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982E68"/>
    <w:rsid w:val="00147B08"/>
    <w:rsid w:val="003F3D19"/>
    <w:rsid w:val="00982E6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3D1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registri">
    <w:name w:val="registri"/>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repubblica">
    <w:name w:val="repubblica"/>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innome">
    <w:name w:val="innome"/>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ezione">
    <w:name w:val="sezione"/>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tabula">
    <w:name w:val="tabula"/>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opolo">
    <w:name w:val="popolo"/>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982E68"/>
  </w:style>
  <w:style w:type="paragraph" w:customStyle="1" w:styleId="contro">
    <w:name w:val="contro"/>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fatto">
    <w:name w:val="fatto"/>
    <w:basedOn w:val="Normale"/>
    <w:rsid w:val="00982E6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982E6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2E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8216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1320</Words>
  <Characters>7530</Characters>
  <Application>Microsoft Office Word</Application>
  <DocSecurity>0</DocSecurity>
  <Lines>62</Lines>
  <Paragraphs>17</Paragraphs>
  <ScaleCrop>false</ScaleCrop>
  <Company/>
  <LinksUpToDate>false</LinksUpToDate>
  <CharactersWithSpaces>8833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2013-10-31T11:36:00Z</dcterms:created>
  <dcterms:modified xsi:type="dcterms:W3CDTF">2013-10-31T11:37:00Z</dcterms:modified>
</cp:coreProperties>
</file>